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DE" w:rsidRPr="00E44C7E" w:rsidRDefault="00E44C7E">
      <w:pPr>
        <w:rPr>
          <w:rFonts w:ascii="Times New Roman" w:hAnsi="Times New Roman" w:cs="Times New Roman"/>
          <w:b/>
          <w:sz w:val="28"/>
          <w:szCs w:val="28"/>
        </w:rPr>
      </w:pPr>
      <w:r w:rsidRPr="00E44C7E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 46</w:t>
      </w:r>
    </w:p>
    <w:p w:rsidR="002638E6" w:rsidRDefault="00E44C7E">
      <w:pPr>
        <w:rPr>
          <w:rFonts w:ascii="Times New Roman" w:hAnsi="Times New Roman" w:cs="Times New Roman"/>
          <w:sz w:val="28"/>
          <w:szCs w:val="28"/>
        </w:rPr>
      </w:pPr>
      <w:r w:rsidRPr="00E44C7E">
        <w:rPr>
          <w:rFonts w:ascii="Times New Roman" w:hAnsi="Times New Roman" w:cs="Times New Roman"/>
          <w:sz w:val="28"/>
          <w:szCs w:val="28"/>
        </w:rPr>
        <w:t xml:space="preserve">Показатели эффективности деятельности воспитателя </w:t>
      </w:r>
    </w:p>
    <w:p w:rsidR="00E44C7E" w:rsidRPr="00E44C7E" w:rsidRDefault="00E4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</w:t>
      </w:r>
    </w:p>
    <w:p w:rsidR="00BE3ADE" w:rsidRPr="00E44C7E" w:rsidRDefault="00BE3AD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8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6"/>
      </w:tblGrid>
      <w:tr w:rsidR="00BE3ADE" w:rsidTr="00E44C7E">
        <w:trPr>
          <w:trHeight w:val="1975"/>
        </w:trPr>
        <w:tc>
          <w:tcPr>
            <w:tcW w:w="10177" w:type="dxa"/>
          </w:tcPr>
          <w:tbl>
            <w:tblPr>
              <w:tblStyle w:val="a3"/>
              <w:tblpPr w:leftFromText="180" w:rightFromText="180" w:vertAnchor="page" w:horzAnchor="margin" w:tblpXSpec="center" w:tblpY="1"/>
              <w:tblW w:w="10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531"/>
              <w:gridCol w:w="546"/>
              <w:gridCol w:w="3191"/>
              <w:gridCol w:w="4400"/>
              <w:gridCol w:w="1392"/>
            </w:tblGrid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1229A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1229A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1229A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Обозначение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1229A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Количество баллов</w:t>
                  </w: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Положительная динамика количества дней пребывания детей в дошкольных группах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 б</w:t>
                  </w:r>
                  <w:r w:rsidRPr="0051229A">
                    <w:rPr>
                      <w:color w:val="000000"/>
                      <w:sz w:val="22"/>
                      <w:szCs w:val="22"/>
                    </w:rPr>
                    <w:t xml:space="preserve">. </w:t>
                  </w: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– более 80% списочного состава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 б. – от 70 до 80%</w:t>
                  </w:r>
                </w:p>
                <w:p w:rsidR="00BE3ADE" w:rsidRPr="0051229A" w:rsidRDefault="00BE3ADE" w:rsidP="00BE3ADE">
                  <w:pPr>
                    <w:widowControl w:val="0"/>
                    <w:tabs>
                      <w:tab w:val="right" w:pos="3185"/>
                    </w:tabs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 б. – от 60 до 70%</w:t>
                  </w: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ab/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0 б. – ниже 60%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Положительная динамика количества дней пребывания детей в группах раннего возраста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 б</w:t>
                  </w:r>
                  <w:r w:rsidRPr="0051229A">
                    <w:rPr>
                      <w:color w:val="000000"/>
                      <w:sz w:val="22"/>
                      <w:szCs w:val="22"/>
                    </w:rPr>
                    <w:t xml:space="preserve">. </w:t>
                  </w: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– более 60% списочного состава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 б. – от 50 до 60%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 б. – от 40 до 50%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0 б. – ниже 40%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Заболеваемость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 xml:space="preserve">(кол-во дней, пропущенных по болезни*100/кол-во </w:t>
                  </w:r>
                  <w:proofErr w:type="spellStart"/>
                  <w:r w:rsidRPr="0051229A">
                    <w:rPr>
                      <w:color w:val="000000"/>
                      <w:sz w:val="22"/>
                      <w:szCs w:val="22"/>
                    </w:rPr>
                    <w:t>детодней</w:t>
                  </w:r>
                  <w:proofErr w:type="spellEnd"/>
                  <w:r w:rsidRPr="0051229A">
                    <w:rPr>
                      <w:color w:val="000000"/>
                      <w:sz w:val="22"/>
                      <w:szCs w:val="22"/>
                    </w:rPr>
                    <w:t xml:space="preserve"> в месяц)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5 б. – до 9% заболеваемости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 б. – 10-14%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0 б. – 15-20% и более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Обеспечение охраны жизни и здоровья детей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 б. – отсутствие детского травматизма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0 б. – одна </w:t>
                  </w:r>
                  <w:proofErr w:type="gramStart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травма</w:t>
                  </w:r>
                  <w:proofErr w:type="gramEnd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не связанная с нарушением инструкции по охране жизни и здоровья детей и детской жестокостью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-3 б. – если более одной травмы не связанной с нарушением инструкции или жестокостью; 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- 5 б. – каждая травма с нарушением инструкции или жестокостью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санитарно-гигиенического режима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1 б. – отсутствие замечаний 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0 б. – единичные незначительные замечания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-1 б. – неоднократные замечания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Эффективность работы в адаптационный период (группы раннего возраста)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>2 б. – более 80% лёгкая и средняя степень адаптации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>1 б. – от 70 до 80% лёгкая и средняя степень адаптации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 xml:space="preserve">0 б.- от 60 до 70 % лёгкая и средняя степень адаптации 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>-1 б. -  ниже 60% лёгкая и средняя степень адаптации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Повышение квалификации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3 б. – долгосрочное обучение (не менее 72 часов)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2 б. – краткосрочные кур</w:t>
                  </w:r>
                  <w:r>
                    <w:rPr>
                      <w:color w:val="000000"/>
                      <w:sz w:val="22"/>
                      <w:szCs w:val="22"/>
                    </w:rPr>
                    <w:t>сы повышения квалификации (16-36</w:t>
                  </w:r>
                  <w:r w:rsidRPr="0051229A">
                    <w:rPr>
                      <w:color w:val="000000"/>
                      <w:sz w:val="22"/>
                      <w:szCs w:val="22"/>
                    </w:rPr>
                    <w:t xml:space="preserve"> часов)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0 б. – в отчетный период обучение не проходило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-1 б. – не проходил обучение в течение 3 лет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 xml:space="preserve">Самообразование 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3 б. – полный пакет методических материалов по теме самообразования с публикацией на сайте ДОУ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2 б. – неполный пакет методических материалов по теме самообразования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1 б. – наличие перспективного плана по теме самообразования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-3 б. – отсутствие работы по самообразованию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Наличие собственных обобщённых методических и дидактических разработок, рекомендаций, пособий.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4 б. - Федеральный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 б. - Региональный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 б. - Муниципальный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 б. - ОУ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180024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180024">
                    <w:rPr>
                      <w:rFonts w:eastAsia="Calibri"/>
                      <w:sz w:val="22"/>
                      <w:szCs w:val="22"/>
                    </w:rPr>
                    <w:t>Участие в организационно-методической работе в качестве слушателя (мастер-классы, конференции, семинары, открытые мероприятия, педагогические советы и т.д.), обобщение и распространение передового педагогического опыта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915186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</w:rPr>
                    <w:t>3</w:t>
                  </w:r>
                  <w:r w:rsidRPr="00915186">
                    <w:rPr>
                      <w:rFonts w:eastAsia="Calibri"/>
                    </w:rPr>
                    <w:t xml:space="preserve"> б. – </w:t>
                  </w:r>
                  <w:r w:rsidRPr="00915186">
                    <w:rPr>
                      <w:rFonts w:eastAsia="Calibri"/>
                      <w:color w:val="000000"/>
                    </w:rPr>
                    <w:t>Федеральный (за каждое событие)</w:t>
                  </w:r>
                </w:p>
                <w:p w:rsidR="00BE3ADE" w:rsidRPr="00915186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2</w:t>
                  </w:r>
                  <w:r w:rsidRPr="00915186">
                    <w:rPr>
                      <w:rFonts w:eastAsia="Calibri"/>
                      <w:color w:val="000000"/>
                    </w:rPr>
                    <w:t xml:space="preserve"> б. – Региональный (за каждое событие)</w:t>
                  </w:r>
                </w:p>
                <w:p w:rsidR="00BE3ADE" w:rsidRPr="00915186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1</w:t>
                  </w:r>
                  <w:r w:rsidRPr="00915186">
                    <w:rPr>
                      <w:rFonts w:eastAsia="Calibri"/>
                      <w:color w:val="000000"/>
                    </w:rPr>
                    <w:t xml:space="preserve"> б. – Муниципальный (за каждое событие)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15186">
                    <w:rPr>
                      <w:rFonts w:eastAsia="Calibri"/>
                      <w:color w:val="000000"/>
                    </w:rPr>
                    <w:t xml:space="preserve">не более 5 баллов 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2.5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П</w:t>
                  </w:r>
                  <w:r w:rsidRPr="0051229A">
                    <w:rPr>
                      <w:rFonts w:eastAsia="Calibri"/>
                      <w:sz w:val="22"/>
                      <w:szCs w:val="22"/>
                    </w:rPr>
                    <w:t>овышение имиджа детского сада (личное участие в мастер-классах, открытых мероприятиях, выступления на конференциях, семинарах, публикация выступлений и авторских работ в СМИ, работа с интернет-представительством, на образовательном форуме)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5</w:t>
                  </w:r>
                  <w:r w:rsidRPr="0051229A">
                    <w:rPr>
                      <w:rFonts w:eastAsia="Calibri"/>
                      <w:sz w:val="22"/>
                      <w:szCs w:val="22"/>
                    </w:rPr>
                    <w:t xml:space="preserve"> б. – </w:t>
                  </w: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Федеральный (за каждое событие)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4</w:t>
                  </w: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б. – Региональный (за каждое событие)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3</w:t>
                  </w: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б. – Муниципальный (за каждое событие)</w:t>
                  </w:r>
                </w:p>
                <w:p w:rsidR="00BE3ADE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2</w:t>
                  </w: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б. – ОУ (за каждое событие) 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не более 5 баллов 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>2.6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pStyle w:val="a4"/>
                    <w:rPr>
                      <w:sz w:val="22"/>
                      <w:szCs w:val="22"/>
                    </w:rPr>
                  </w:pPr>
                  <w:r w:rsidRPr="0051229A">
                    <w:rPr>
                      <w:sz w:val="22"/>
                      <w:szCs w:val="22"/>
                    </w:rPr>
                    <w:t>Личное участие педагога в конкурсах профессионального мастерства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>3 б. – за участие в очном конкурсе профессионального мастерства + 2 б. за победу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 xml:space="preserve">1 б. – за участие в </w:t>
                  </w:r>
                  <w:proofErr w:type="gramStart"/>
                  <w:r w:rsidRPr="0051229A">
                    <w:rPr>
                      <w:rFonts w:eastAsia="Calibri"/>
                      <w:sz w:val="22"/>
                      <w:szCs w:val="22"/>
                    </w:rPr>
                    <w:t>заочных  (</w:t>
                  </w:r>
                  <w:proofErr w:type="gramEnd"/>
                  <w:r w:rsidRPr="0051229A">
                    <w:rPr>
                      <w:rFonts w:eastAsia="Calibri"/>
                      <w:sz w:val="22"/>
                      <w:szCs w:val="22"/>
                    </w:rPr>
                    <w:t>дистанционных) конкурсах + 1 б. за победу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>0 б.– отсутствие участия в конкурсах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>Всего не более 10 баллов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>2.7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51229A">
                    <w:rPr>
                      <w:color w:val="000000"/>
                      <w:sz w:val="22"/>
                      <w:szCs w:val="22"/>
                    </w:rPr>
                    <w:t>Проектно</w:t>
                  </w:r>
                  <w:proofErr w:type="spellEnd"/>
                  <w:r w:rsidRPr="0051229A">
                    <w:rPr>
                      <w:color w:val="000000"/>
                      <w:sz w:val="22"/>
                      <w:szCs w:val="22"/>
                    </w:rPr>
                    <w:t xml:space="preserve"> – исследовательская деятельность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2 б. – более одного реализованного проекта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1 б. – один реализованный проект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-1 б. – проектная деятельность отсутствует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>2.8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Инновационная деятельность: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Инновационная площадка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Стажёрская площадка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Программа поддержки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Творческая команда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РИП (соучастие)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6 б. </w:t>
                  </w:r>
                  <w:r w:rsidRPr="0051229A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Федеральный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5 б. </w:t>
                  </w:r>
                  <w:r w:rsidRPr="0051229A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Региональный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4 б. </w:t>
                  </w:r>
                  <w:r w:rsidRPr="0051229A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Муниципальный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FF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3 б. </w:t>
                  </w:r>
                  <w:r w:rsidRPr="0051229A">
                    <w:rPr>
                      <w:color w:val="000000"/>
                      <w:sz w:val="22"/>
                      <w:szCs w:val="22"/>
                    </w:rPr>
                    <w:t xml:space="preserve">– </w:t>
                  </w: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ОУ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Отсутствие обоснованных, зафиксированных жалоб и конфликтов; наличие положительных отзывов, благодарностей со стороны родительской общественности 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 б. – присутствуют зафиксированные положительные отзывы, благодарности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 б.- жалобы и конфликты отсутствуют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0 б. – жалобы есть, но они необоснованные или урегулированы с пользой для группы.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-1 б. – есть обоснованные незначительные жалобы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- 3 б. – есть обоснованные значительные жалобы, не использована возможность урегулирования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3.2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 xml:space="preserve">Своевременное внесение  родителями платы за присмотр и уход за ребёнком 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1 б. – оплата производится своевременно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0 б. – задолженность не более, чем за 2 месяца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- 1б. –  задолженность за 2 месяца и более месяца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3.3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Привлечение родителей (законных представителей) участию в конкурсах различного уровня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 б. – за одно участие в федеральном, но не более 6 б.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 б. - за одно участие в региональном, но не более 6 б.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 б. - за одно участие в муниципальном, но не более 5 б.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lastRenderedPageBreak/>
                    <w:t>0 б. – не участвует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3.4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Участие родителей (законных представителей) воспитанников в мероприятиях, проводимых в учреждении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за  участие  семьи  0,5</w:t>
                  </w: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балла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>Доля родителей (законных представителей) несовершеннолетних обучающихся, удовлетворенных качеством предоставляемых образовательных услуг, от общего числа опрошенных родителей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ind w:left="-113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>1 балл присваивается в случае, если доля родителей (законных представителей) несовершеннолетних обучающихся, удовлетворенных качеством предоставляемых образовательных услуг, – не менее 80 процентов от общего числа опрошенных родителей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Оформление групповых помещений, помещений учреждения и выставок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3 б. </w:t>
                  </w:r>
                  <w:proofErr w:type="gramStart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за  общие</w:t>
                  </w:r>
                  <w:proofErr w:type="gramEnd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помещения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2 б. </w:t>
                  </w:r>
                  <w:proofErr w:type="gramStart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за  выставку</w:t>
                  </w:r>
                  <w:proofErr w:type="gramEnd"/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 б. за группу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Вариативные формы дошкольного образования (кратковременное пребывание)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1 б. – за одного ребенка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Организация дополнительного образования в детском саду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2 б. – охват детей в группе 80%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1 б. – охват детей от 50-80%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0 б. – охват детей менее 50%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-1 б. – отсутствие детей, посещающих дополнительные услуги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Участие в социально значимых проектах, </w:t>
                  </w:r>
                  <w:proofErr w:type="spellStart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молодежно</w:t>
                  </w:r>
                  <w:proofErr w:type="spellEnd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-педагогического сообщества (до 35 лет), выполнение Указов Президента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 б. – есть результат (участие в группе лидеров)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 б. – участие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0 б. – не участвует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4.5.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Работа по благоустройству и озеленению территории, помещений учреждения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 б. – уход в течение весенне-осеннего периода за цветочными и зелеными насаждениями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 б.  – привлечение к косметическим ремонтам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 б. – выращивание цветочной рассады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 б. – высадка рассады в грунт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1 б. – участие в субботнике 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5.1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Эффективность и эстетичность организации </w:t>
                  </w:r>
                  <w:proofErr w:type="spellStart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развиваюшей</w:t>
                  </w:r>
                  <w:proofErr w:type="spellEnd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предметно-пространственной среды в группе, на участке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3 б. – наличие перспективного плана РППС и его своевременное выполнение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1 б. – наличие плана, но несвоевременное выполнение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-1 б. – наличие плана, но неисполнение его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-2 б. – отсутствие плана, среда не пополняется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5.2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Воспитанники - участники, победители, призёры, лауреаты дипломанты конкурсов, фестивалей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3 б. – за одно участие в федеральном, но не более 6 б.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 б. за одно участие в региональном, но не более 6 б.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 б. - за одно участие в муниципальном, но не более 5 б.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0 б. – не участвует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+1 б. – за победу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5.3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sz w:val="22"/>
                      <w:szCs w:val="22"/>
                      <w:highlight w:val="yellow"/>
                    </w:rPr>
                  </w:pPr>
                  <w:r w:rsidRPr="0051229A">
                    <w:rPr>
                      <w:sz w:val="22"/>
                      <w:szCs w:val="22"/>
                    </w:rPr>
                    <w:t>Своевременная и качественная подготовка к проведению образовательного процесса. Ведение документации (по результатам контроля).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>2 б. – замечания отсутствуют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>1 б. – незначительные замечания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>- 1 б. – имеются нарушения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5.4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 xml:space="preserve">Работа с детьми с </w:t>
                  </w:r>
                  <w:r w:rsidRPr="0051229A">
                    <w:rPr>
                      <w:color w:val="000000"/>
                      <w:sz w:val="22"/>
                      <w:szCs w:val="22"/>
                    </w:rPr>
                    <w:lastRenderedPageBreak/>
                    <w:t>индивидуальными образовательными потребностями. Работа с детьми с ОВЗ (в группах общеразвивающей направленности)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2 б. – за каждого ребенка, но не более 6 </w:t>
                  </w:r>
                  <w:r w:rsidRPr="0051229A">
                    <w:rPr>
                      <w:color w:val="000000"/>
                      <w:sz w:val="22"/>
                      <w:szCs w:val="22"/>
                    </w:rPr>
                    <w:lastRenderedPageBreak/>
                    <w:t>баллов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5.5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Реализация парциальных программ (организация кружковой работы)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sz w:val="22"/>
                      <w:szCs w:val="22"/>
                    </w:rPr>
                  </w:pPr>
                  <w:r w:rsidRPr="0051229A">
                    <w:rPr>
                      <w:sz w:val="22"/>
                      <w:szCs w:val="22"/>
                    </w:rPr>
                    <w:t>3 б. – за одну программу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sz w:val="22"/>
                      <w:szCs w:val="22"/>
                    </w:rPr>
                  </w:pPr>
                  <w:r w:rsidRPr="0051229A">
                    <w:rPr>
                      <w:sz w:val="22"/>
                      <w:szCs w:val="22"/>
                    </w:rPr>
                    <w:t>0 б. – работа отсутствует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51229A">
                    <w:rPr>
                      <w:sz w:val="22"/>
                      <w:szCs w:val="22"/>
                    </w:rPr>
                    <w:t>Работа без больничных листов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 xml:space="preserve">1б. – отсутствие больничного листа 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</w:rPr>
                    <w:t>0 б. – больничный лист имеется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6.1.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sz w:val="22"/>
                      <w:szCs w:val="22"/>
                    </w:rPr>
                  </w:pPr>
                  <w:r w:rsidRPr="0051229A">
                    <w:rPr>
                      <w:sz w:val="22"/>
                      <w:szCs w:val="22"/>
                    </w:rPr>
                    <w:t>Эффективность взаимодействия с социальными партнерами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sz w:val="22"/>
                      <w:szCs w:val="22"/>
                    </w:rPr>
                  </w:pPr>
                  <w:r w:rsidRPr="0051229A">
                    <w:rPr>
                      <w:sz w:val="22"/>
                      <w:szCs w:val="22"/>
                    </w:rPr>
                    <w:t>2 б. – два и более вида взаимодействия с социальными партнерами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sz w:val="22"/>
                      <w:szCs w:val="22"/>
                    </w:rPr>
                  </w:pPr>
                  <w:r w:rsidRPr="0051229A">
                    <w:rPr>
                      <w:sz w:val="22"/>
                      <w:szCs w:val="22"/>
                    </w:rPr>
                    <w:t>1 б. – один вид взаимодействия с социальными партнерами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sz w:val="22"/>
                      <w:szCs w:val="22"/>
                    </w:rPr>
                  </w:pPr>
                  <w:r w:rsidRPr="0051229A">
                    <w:rPr>
                      <w:sz w:val="22"/>
                      <w:szCs w:val="22"/>
                    </w:rPr>
                    <w:t>0 б. – взаимодействие с социальными партнерами отсутствует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7.1.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Эффективность и качество исполнения принятых решений (малых совещаний, педагогических советов, медико-педагогических совещаний и т.д.)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 б. – исполняется полностью без нарушения сроков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0 б. – исполняется с нарушениями сроков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-1 б - не исполняется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7.2.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Соблюдение инструкций и локальных актов (</w:t>
                  </w:r>
                  <w:proofErr w:type="spellStart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санпины</w:t>
                  </w:r>
                  <w:proofErr w:type="spellEnd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, приказ по </w:t>
                  </w:r>
                  <w:proofErr w:type="spellStart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пож</w:t>
                  </w:r>
                  <w:proofErr w:type="spellEnd"/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безопасности, должностная инструкция и т.д.)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1 б. – соблюдаются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- 1б. – есть нарушения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196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7.3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 xml:space="preserve">Нарушение трудовой дисциплины (опоздания, несвоевременный уход с работы, не соблюдение </w:t>
                  </w:r>
                  <w:proofErr w:type="spellStart"/>
                  <w:r w:rsidRPr="0051229A">
                    <w:rPr>
                      <w:color w:val="000000"/>
                      <w:sz w:val="22"/>
                      <w:szCs w:val="22"/>
                    </w:rPr>
                    <w:t>СанПинов</w:t>
                  </w:r>
                  <w:proofErr w:type="spellEnd"/>
                  <w:r w:rsidRPr="0051229A">
                    <w:rPr>
                      <w:color w:val="000000"/>
                      <w:sz w:val="22"/>
                      <w:szCs w:val="22"/>
                    </w:rPr>
                    <w:t>, инструкций, Приказов по учреждению)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 xml:space="preserve"> От -1б. до -5 б. – за нарушения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7.4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Default="00BE3ADE" w:rsidP="00BE3ADE">
                  <w:pPr>
                    <w:widowControl w:val="0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color w:val="000000"/>
                      <w:sz w:val="22"/>
                      <w:szCs w:val="22"/>
                    </w:rPr>
                    <w:t>Интенсивность и напряженность общественной работы</w:t>
                  </w:r>
                </w:p>
                <w:p w:rsidR="00BE3ADE" w:rsidRDefault="00BE3ADE" w:rsidP="00BE3ADE">
                  <w:pPr>
                    <w:widowControl w:val="0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C7E" w:rsidRDefault="00E44C7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51229A">
                    <w:rPr>
                      <w:color w:val="000000"/>
                      <w:sz w:val="22"/>
                      <w:szCs w:val="22"/>
                    </w:rPr>
                    <w:t>От 1 до 3 баллов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8.1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Ведение практики студентов на своей возрастной группе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2 б. – участвует в организации занятий, режимных моментов с детьми своей возрастной группы совместно со студентами РПК.</w:t>
                  </w:r>
                </w:p>
                <w:p w:rsidR="00BE3ADE" w:rsidRPr="0051229A" w:rsidRDefault="00BE3ADE" w:rsidP="00BE3ADE">
                  <w:pPr>
                    <w:widowControl w:val="0"/>
                    <w:contextualSpacing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1229A">
                    <w:rPr>
                      <w:rFonts w:eastAsia="Calibri"/>
                      <w:color w:val="000000"/>
                      <w:sz w:val="22"/>
                      <w:szCs w:val="22"/>
                    </w:rPr>
                    <w:t>0 б. – в ведении практики не  участвует.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8.2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2772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2772A">
                    <w:rPr>
                      <w:rFonts w:eastAsia="Calibri"/>
                      <w:color w:val="000000"/>
                      <w:sz w:val="22"/>
                      <w:szCs w:val="22"/>
                    </w:rPr>
                    <w:t>Наставничество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2772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2772A">
                    <w:rPr>
                      <w:rFonts w:eastAsia="Calibri"/>
                      <w:color w:val="000000"/>
                      <w:sz w:val="22"/>
                      <w:szCs w:val="22"/>
                    </w:rPr>
                    <w:t>3 б. –реализуется программа наставничества в полном объёме</w:t>
                  </w:r>
                </w:p>
                <w:p w:rsidR="00BE3ADE" w:rsidRPr="0052772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2772A">
                    <w:rPr>
                      <w:rFonts w:eastAsia="Calibri"/>
                      <w:color w:val="000000"/>
                      <w:sz w:val="22"/>
                      <w:szCs w:val="22"/>
                    </w:rPr>
                    <w:t>1 б. реализует эпизодически.</w:t>
                  </w:r>
                </w:p>
                <w:p w:rsidR="00BE3ADE" w:rsidRPr="0052772A" w:rsidRDefault="00BE3ADE" w:rsidP="00BE3ADE">
                  <w:pPr>
                    <w:widowControl w:val="0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52772A">
                    <w:rPr>
                      <w:rFonts w:eastAsia="Calibri"/>
                      <w:color w:val="000000"/>
                      <w:sz w:val="22"/>
                      <w:szCs w:val="22"/>
                    </w:rPr>
                    <w:t>0- не реализуются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1229A">
                    <w:rPr>
                      <w:rFonts w:eastAsia="Calibri"/>
                      <w:sz w:val="22"/>
                      <w:szCs w:val="22"/>
                      <w:lang w:eastAsia="en-US"/>
                    </w:rPr>
                    <w:t>Сумма баллов</w:t>
                  </w: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E3ADE" w:rsidRPr="003E78B5" w:rsidTr="00E44C7E">
              <w:trPr>
                <w:trHeight w:val="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2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E3ADE" w:rsidRPr="0051229A" w:rsidRDefault="00BE3ADE" w:rsidP="00BE3A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</w:tr>
          </w:tbl>
          <w:p w:rsidR="00BE3ADE" w:rsidRDefault="00BE3ADE" w:rsidP="00BE3ADE"/>
        </w:tc>
      </w:tr>
    </w:tbl>
    <w:p w:rsidR="00BE3ADE" w:rsidRDefault="00BE3ADE"/>
    <w:p w:rsidR="00BE3ADE" w:rsidRDefault="00BE3ADE"/>
    <w:p w:rsidR="00BE3ADE" w:rsidRDefault="00BE3ADE">
      <w:r>
        <w:t xml:space="preserve"> Дата </w:t>
      </w:r>
      <w:r w:rsidR="00E44C7E">
        <w:t>______________</w:t>
      </w:r>
    </w:p>
    <w:sectPr w:rsidR="00BE3ADE" w:rsidSect="00E44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A"/>
    <w:rsid w:val="002638E6"/>
    <w:rsid w:val="00BE06FA"/>
    <w:rsid w:val="00BE3ADE"/>
    <w:rsid w:val="00E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72E1"/>
  <w15:chartTrackingRefBased/>
  <w15:docId w15:val="{6C820051-FB8C-49C2-B8FE-B5272CA6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E3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cp:lastPrinted>2024-10-08T08:18:00Z</cp:lastPrinted>
  <dcterms:created xsi:type="dcterms:W3CDTF">2024-10-03T13:30:00Z</dcterms:created>
  <dcterms:modified xsi:type="dcterms:W3CDTF">2024-10-08T08:20:00Z</dcterms:modified>
</cp:coreProperties>
</file>